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5" w:rsidRDefault="00B41A3A">
      <w:pPr>
        <w:rPr>
          <w:rFonts w:asciiTheme="majorEastAsia" w:eastAsiaTheme="majorEastAsia" w:hAnsiTheme="majorEastAsia"/>
          <w:b/>
        </w:rPr>
      </w:pPr>
      <w:r w:rsidRPr="00B41A3A">
        <w:rPr>
          <w:rFonts w:asciiTheme="majorEastAsia" w:eastAsiaTheme="majorEastAsia" w:hAnsiTheme="majorEastAsia" w:hint="eastAsia"/>
          <w:b/>
        </w:rPr>
        <w:t>平成３０年度から３１年度使用「特別の教科　道徳」教科用図書について</w:t>
      </w:r>
    </w:p>
    <w:p w:rsidR="00B41A3A" w:rsidRDefault="00B41A3A">
      <w:pPr>
        <w:rPr>
          <w:rFonts w:asciiTheme="majorEastAsia" w:eastAsiaTheme="majorEastAsia" w:hAnsiTheme="majorEastAsia"/>
          <w:b/>
        </w:rPr>
      </w:pPr>
    </w:p>
    <w:p w:rsidR="00B41A3A" w:rsidRDefault="00B41A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平成３０年度から３１年度に金沢大学附属小学校で使用する「特別の教科　道徳」の教科用図書の採択にあたって</w:t>
      </w:r>
      <w:r w:rsidR="00475080">
        <w:rPr>
          <w:rFonts w:asciiTheme="minorEastAsia" w:hAnsiTheme="minorEastAsia" w:hint="eastAsia"/>
        </w:rPr>
        <w:t>は、採択方針及び採択検討会での推薦に基づき、最も適切と思われるものについて、教科書採択委員会において慎重に審議を行い、公正かつ適正に採択を行いました。</w:t>
      </w:r>
    </w:p>
    <w:p w:rsidR="00475080" w:rsidRDefault="00475080">
      <w:pPr>
        <w:rPr>
          <w:rFonts w:asciiTheme="minorEastAsia" w:hAnsiTheme="minorEastAsia"/>
        </w:rPr>
      </w:pPr>
    </w:p>
    <w:p w:rsidR="00475080" w:rsidRPr="00475080" w:rsidRDefault="00475080">
      <w:pPr>
        <w:rPr>
          <w:rFonts w:asciiTheme="majorEastAsia" w:eastAsiaTheme="majorEastAsia" w:hAnsiTheme="majorEastAsia"/>
          <w:b/>
        </w:rPr>
      </w:pPr>
      <w:r w:rsidRPr="00475080">
        <w:rPr>
          <w:rFonts w:asciiTheme="majorEastAsia" w:eastAsiaTheme="majorEastAsia" w:hAnsiTheme="majorEastAsia" w:hint="eastAsia"/>
          <w:b/>
        </w:rPr>
        <w:t>１　採択した教科書</w:t>
      </w:r>
    </w:p>
    <w:p w:rsidR="00475080" w:rsidRDefault="004750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475080" w:rsidTr="00384BC7">
        <w:tc>
          <w:tcPr>
            <w:tcW w:w="3369" w:type="dxa"/>
            <w:vAlign w:val="center"/>
          </w:tcPr>
          <w:p w:rsidR="00475080" w:rsidRDefault="00475080" w:rsidP="004750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　目</w:t>
            </w:r>
          </w:p>
        </w:tc>
        <w:tc>
          <w:tcPr>
            <w:tcW w:w="6378" w:type="dxa"/>
          </w:tcPr>
          <w:p w:rsidR="00475080" w:rsidRDefault="00475080" w:rsidP="004750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　行　者</w:t>
            </w:r>
          </w:p>
        </w:tc>
      </w:tr>
      <w:tr w:rsidR="00475080" w:rsidTr="00384BC7">
        <w:tc>
          <w:tcPr>
            <w:tcW w:w="3369" w:type="dxa"/>
          </w:tcPr>
          <w:p w:rsidR="00475080" w:rsidRDefault="00475080" w:rsidP="005061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　徳</w:t>
            </w:r>
          </w:p>
        </w:tc>
        <w:tc>
          <w:tcPr>
            <w:tcW w:w="6378" w:type="dxa"/>
          </w:tcPr>
          <w:p w:rsidR="00475080" w:rsidRDefault="00384BC7" w:rsidP="005061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研　　みんなの道徳</w:t>
            </w:r>
          </w:p>
        </w:tc>
      </w:tr>
    </w:tbl>
    <w:p w:rsidR="00475080" w:rsidRDefault="00475080">
      <w:pPr>
        <w:rPr>
          <w:rFonts w:asciiTheme="minorEastAsia" w:hAnsiTheme="minorEastAsia"/>
        </w:rPr>
      </w:pPr>
    </w:p>
    <w:p w:rsidR="00475080" w:rsidRPr="00384BC7" w:rsidRDefault="00384BC7">
      <w:pPr>
        <w:rPr>
          <w:rFonts w:asciiTheme="majorEastAsia" w:eastAsiaTheme="majorEastAsia" w:hAnsiTheme="majorEastAsia"/>
          <w:b/>
        </w:rPr>
      </w:pPr>
      <w:r w:rsidRPr="00384BC7">
        <w:rPr>
          <w:rFonts w:asciiTheme="majorEastAsia" w:eastAsiaTheme="majorEastAsia" w:hAnsiTheme="majorEastAsia" w:hint="eastAsia"/>
          <w:b/>
        </w:rPr>
        <w:t>２　採択のおもな理由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229"/>
      </w:tblGrid>
      <w:tr w:rsidR="00384BC7" w:rsidTr="00384BC7">
        <w:trPr>
          <w:trHeight w:val="724"/>
        </w:trPr>
        <w:tc>
          <w:tcPr>
            <w:tcW w:w="1242" w:type="dxa"/>
            <w:vAlign w:val="center"/>
          </w:tcPr>
          <w:p w:rsidR="00384BC7" w:rsidRDefault="00384BC7" w:rsidP="00384B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1276" w:type="dxa"/>
            <w:vAlign w:val="center"/>
          </w:tcPr>
          <w:p w:rsidR="00384BC7" w:rsidRDefault="00384BC7" w:rsidP="00384BC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発行者</w:t>
            </w:r>
          </w:p>
          <w:p w:rsidR="00384BC7" w:rsidRDefault="00384BC7" w:rsidP="00384BC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略称</w:t>
            </w:r>
          </w:p>
        </w:tc>
        <w:tc>
          <w:tcPr>
            <w:tcW w:w="7229" w:type="dxa"/>
            <w:vAlign w:val="center"/>
          </w:tcPr>
          <w:p w:rsidR="00384BC7" w:rsidRDefault="00384BC7" w:rsidP="00384B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　択　の　主　な　理　由</w:t>
            </w:r>
          </w:p>
        </w:tc>
      </w:tr>
      <w:tr w:rsidR="00384BC7" w:rsidTr="00384BC7">
        <w:tc>
          <w:tcPr>
            <w:tcW w:w="1242" w:type="dxa"/>
            <w:vAlign w:val="center"/>
          </w:tcPr>
          <w:p w:rsidR="00384BC7" w:rsidRDefault="00384BC7" w:rsidP="00384B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道徳</w:t>
            </w:r>
          </w:p>
        </w:tc>
        <w:tc>
          <w:tcPr>
            <w:tcW w:w="1276" w:type="dxa"/>
            <w:vAlign w:val="center"/>
          </w:tcPr>
          <w:p w:rsidR="00384BC7" w:rsidRDefault="00384BC7" w:rsidP="00384B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研</w:t>
            </w:r>
          </w:p>
        </w:tc>
        <w:tc>
          <w:tcPr>
            <w:tcW w:w="7229" w:type="dxa"/>
          </w:tcPr>
          <w:p w:rsidR="00384BC7" w:rsidRPr="00384BC7" w:rsidRDefault="00384BC7" w:rsidP="00384BC7">
            <w:pPr>
              <w:suppressAutoHyphens/>
              <w:kinsoku w:val="0"/>
              <w:autoSpaceDE w:val="0"/>
              <w:autoSpaceDN w:val="0"/>
              <w:spacing w:beforeLines="50" w:before="216"/>
              <w:ind w:left="289" w:hangingChars="100" w:hanging="289"/>
              <w:jc w:val="left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・主題名が本文の前に入っておらず、児童が特定の価値観にしばられることなく、</w:t>
            </w:r>
            <w:r w:rsidRPr="00384BC7">
              <w:rPr>
                <w:rFonts w:hAnsi="Times New Roman" w:cs="Times New Roman" w:hint="eastAsia"/>
                <w:spacing w:val="2"/>
                <w:szCs w:val="24"/>
              </w:rPr>
              <w:t>自分の問題意識を大切にして学ぶことができる。</w:t>
            </w:r>
          </w:p>
          <w:p w:rsidR="00384BC7" w:rsidRPr="00384BC7" w:rsidRDefault="005061CF" w:rsidP="00384BC7">
            <w:pPr>
              <w:suppressAutoHyphens/>
              <w:kinsoku w:val="0"/>
              <w:autoSpaceDE w:val="0"/>
              <w:autoSpaceDN w:val="0"/>
              <w:spacing w:beforeLines="50" w:before="216"/>
              <w:ind w:left="289" w:hangingChars="100" w:hanging="289"/>
              <w:jc w:val="left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・資料の</w:t>
            </w:r>
            <w:bookmarkStart w:id="0" w:name="_GoBack"/>
            <w:bookmarkEnd w:id="0"/>
            <w:r w:rsidR="00384BC7" w:rsidRPr="00384BC7">
              <w:rPr>
                <w:rFonts w:hAnsi="Times New Roman" w:cs="Times New Roman" w:hint="eastAsia"/>
                <w:spacing w:val="2"/>
                <w:szCs w:val="24"/>
              </w:rPr>
              <w:t>後の児童への問いかけが簡潔</w:t>
            </w:r>
            <w:r w:rsidR="00384BC7">
              <w:rPr>
                <w:rFonts w:hAnsi="Times New Roman" w:cs="Times New Roman" w:hint="eastAsia"/>
                <w:spacing w:val="2"/>
                <w:szCs w:val="24"/>
              </w:rPr>
              <w:t>に書かれており、</w:t>
            </w:r>
            <w:r w:rsidR="00384BC7" w:rsidRPr="00384BC7">
              <w:rPr>
                <w:rFonts w:hAnsi="Times New Roman" w:cs="Times New Roman" w:hint="eastAsia"/>
                <w:spacing w:val="2"/>
                <w:szCs w:val="24"/>
              </w:rPr>
              <w:t>教師の発問の自由度が高い。</w:t>
            </w:r>
          </w:p>
          <w:p w:rsidR="00384BC7" w:rsidRPr="00384BC7" w:rsidRDefault="00384BC7" w:rsidP="00384BC7">
            <w:pPr>
              <w:suppressAutoHyphens/>
              <w:kinsoku w:val="0"/>
              <w:autoSpaceDE w:val="0"/>
              <w:autoSpaceDN w:val="0"/>
              <w:spacing w:beforeLines="50" w:before="216"/>
              <w:ind w:left="289" w:hangingChars="100" w:hanging="289"/>
              <w:jc w:val="left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・これまでに長く活用されてきた資料が掲載されており、</w:t>
            </w:r>
            <w:r w:rsidR="0010183C">
              <w:rPr>
                <w:rFonts w:hAnsi="Times New Roman" w:cs="Times New Roman" w:hint="eastAsia"/>
                <w:spacing w:val="2"/>
                <w:szCs w:val="24"/>
              </w:rPr>
              <w:t>これまでの実践を生かした指導ができる</w:t>
            </w:r>
            <w:r w:rsidRPr="00384BC7">
              <w:rPr>
                <w:rFonts w:hAnsi="Times New Roman" w:cs="Times New Roman" w:hint="eastAsia"/>
                <w:spacing w:val="2"/>
                <w:szCs w:val="24"/>
              </w:rPr>
              <w:t>。</w:t>
            </w:r>
          </w:p>
          <w:p w:rsidR="00384BC7" w:rsidRPr="00384BC7" w:rsidRDefault="00384BC7" w:rsidP="00384BC7">
            <w:pPr>
              <w:suppressAutoHyphens/>
              <w:kinsoku w:val="0"/>
              <w:autoSpaceDE w:val="0"/>
              <w:autoSpaceDN w:val="0"/>
              <w:spacing w:beforeLines="50" w:before="216"/>
              <w:jc w:val="left"/>
              <w:rPr>
                <w:rFonts w:hAnsi="Times New Roman" w:cs="Times New Roman"/>
                <w:spacing w:val="2"/>
                <w:szCs w:val="24"/>
              </w:rPr>
            </w:pPr>
            <w:r w:rsidRPr="00384BC7">
              <w:rPr>
                <w:rFonts w:hAnsi="Times New Roman" w:cs="Times New Roman" w:hint="eastAsia"/>
                <w:spacing w:val="2"/>
                <w:szCs w:val="24"/>
              </w:rPr>
              <w:t>・</w:t>
            </w:r>
            <w:r>
              <w:rPr>
                <w:rFonts w:hAnsi="Times New Roman" w:cs="Times New Roman" w:hint="eastAsia"/>
                <w:spacing w:val="2"/>
                <w:szCs w:val="24"/>
              </w:rPr>
              <w:t>挿絵や資料が大きく、</w:t>
            </w:r>
            <w:r w:rsidRPr="00384BC7">
              <w:rPr>
                <w:rFonts w:hAnsi="Times New Roman" w:cs="Times New Roman" w:hint="eastAsia"/>
                <w:spacing w:val="2"/>
                <w:szCs w:val="24"/>
              </w:rPr>
              <w:t>見やすい。</w:t>
            </w:r>
          </w:p>
          <w:p w:rsidR="00384BC7" w:rsidRPr="00384BC7" w:rsidRDefault="00384BC7" w:rsidP="00384BC7">
            <w:pPr>
              <w:suppressAutoHyphens/>
              <w:kinsoku w:val="0"/>
              <w:autoSpaceDE w:val="0"/>
              <w:autoSpaceDN w:val="0"/>
              <w:spacing w:beforeLines="50" w:before="216"/>
              <w:ind w:left="289" w:hangingChars="100" w:hanging="289"/>
              <w:jc w:val="left"/>
              <w:rPr>
                <w:rFonts w:hAnsi="Times New Roman" w:cs="Times New Roman"/>
                <w:spacing w:val="2"/>
                <w:szCs w:val="24"/>
              </w:rPr>
            </w:pPr>
            <w:r w:rsidRPr="00384BC7">
              <w:rPr>
                <w:rFonts w:hAnsi="Times New Roman" w:cs="Times New Roman" w:hint="eastAsia"/>
                <w:spacing w:val="2"/>
                <w:szCs w:val="24"/>
              </w:rPr>
              <w:t>・巻末に道徳的価値の内容項目</w:t>
            </w:r>
            <w:r>
              <w:rPr>
                <w:rFonts w:hAnsi="Times New Roman" w:cs="Times New Roman" w:hint="eastAsia"/>
                <w:spacing w:val="2"/>
                <w:szCs w:val="24"/>
              </w:rPr>
              <w:t>や他の教科等との関連がまとめて書かれており、</w:t>
            </w:r>
            <w:r w:rsidRPr="00384BC7">
              <w:rPr>
                <w:rFonts w:hAnsi="Times New Roman" w:cs="Times New Roman" w:hint="eastAsia"/>
                <w:spacing w:val="2"/>
                <w:szCs w:val="24"/>
              </w:rPr>
              <w:t>ねらいを明確にしやすい。</w:t>
            </w:r>
          </w:p>
          <w:p w:rsidR="00384BC7" w:rsidRDefault="00384BC7" w:rsidP="00384BC7">
            <w:pPr>
              <w:rPr>
                <w:rFonts w:hAnsi="Times New Roman" w:cs="Times New Roman"/>
                <w:spacing w:val="2"/>
                <w:szCs w:val="24"/>
              </w:rPr>
            </w:pPr>
          </w:p>
          <w:p w:rsidR="00384BC7" w:rsidRDefault="0010183C" w:rsidP="00384BC7">
            <w:pPr>
              <w:ind w:left="289" w:hangingChars="100" w:hanging="289"/>
              <w:rPr>
                <w:rFonts w:asciiTheme="minorEastAsia" w:hAnsiTheme="minorEastAsia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・教師</w:t>
            </w:r>
            <w:r w:rsidR="00384BC7">
              <w:rPr>
                <w:rFonts w:hAnsi="Times New Roman" w:cs="Times New Roman" w:hint="eastAsia"/>
                <w:spacing w:val="2"/>
                <w:szCs w:val="24"/>
              </w:rPr>
              <w:t>が工夫して授業をできるように、</w:t>
            </w:r>
            <w:r w:rsidR="00384BC7" w:rsidRPr="00384BC7">
              <w:rPr>
                <w:rFonts w:hAnsi="Times New Roman" w:cs="Times New Roman" w:hint="eastAsia"/>
                <w:spacing w:val="2"/>
                <w:szCs w:val="24"/>
              </w:rPr>
              <w:t>付属している</w:t>
            </w:r>
            <w:r w:rsidR="00384BC7">
              <w:rPr>
                <w:rFonts w:hAnsi="Times New Roman" w:cs="Times New Roman" w:hint="eastAsia"/>
                <w:spacing w:val="2"/>
                <w:szCs w:val="24"/>
              </w:rPr>
              <w:t>ワークシートを活用することができる</w:t>
            </w:r>
            <w:r w:rsidR="00384BC7" w:rsidRPr="00384BC7">
              <w:rPr>
                <w:rFonts w:hAnsi="Times New Roman" w:cs="Times New Roman" w:hint="eastAsia"/>
                <w:spacing w:val="2"/>
                <w:szCs w:val="24"/>
              </w:rPr>
              <w:t>。</w:t>
            </w:r>
          </w:p>
        </w:tc>
      </w:tr>
    </w:tbl>
    <w:p w:rsidR="00475080" w:rsidRDefault="00475080">
      <w:pPr>
        <w:rPr>
          <w:rFonts w:asciiTheme="minorEastAsia" w:hAnsiTheme="minorEastAsia"/>
        </w:rPr>
      </w:pPr>
    </w:p>
    <w:p w:rsidR="00475080" w:rsidRPr="00B41A3A" w:rsidRDefault="00475080">
      <w:pPr>
        <w:rPr>
          <w:rFonts w:asciiTheme="minorEastAsia" w:hAnsiTheme="minorEastAsia"/>
        </w:rPr>
      </w:pPr>
    </w:p>
    <w:sectPr w:rsidR="00475080" w:rsidRPr="00B41A3A" w:rsidSect="00B41A3A">
      <w:pgSz w:w="11906" w:h="16838" w:code="9"/>
      <w:pgMar w:top="851" w:right="851" w:bottom="851" w:left="851" w:header="851" w:footer="992" w:gutter="0"/>
      <w:cols w:space="425"/>
      <w:docGrid w:type="linesAndChars" w:linePitch="432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5F" w:rsidRDefault="00A42C5F" w:rsidP="005061CF">
      <w:r>
        <w:separator/>
      </w:r>
    </w:p>
  </w:endnote>
  <w:endnote w:type="continuationSeparator" w:id="0">
    <w:p w:rsidR="00A42C5F" w:rsidRDefault="00A42C5F" w:rsidP="005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5F" w:rsidRDefault="00A42C5F" w:rsidP="005061CF">
      <w:r>
        <w:separator/>
      </w:r>
    </w:p>
  </w:footnote>
  <w:footnote w:type="continuationSeparator" w:id="0">
    <w:p w:rsidR="00A42C5F" w:rsidRDefault="00A42C5F" w:rsidP="0050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3A"/>
    <w:rsid w:val="0010183C"/>
    <w:rsid w:val="00384BC7"/>
    <w:rsid w:val="00475080"/>
    <w:rsid w:val="005061CF"/>
    <w:rsid w:val="006354D4"/>
    <w:rsid w:val="009835F0"/>
    <w:rsid w:val="00A42C5F"/>
    <w:rsid w:val="00B41A3A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1CF"/>
    <w:rPr>
      <w:sz w:val="24"/>
    </w:rPr>
  </w:style>
  <w:style w:type="paragraph" w:styleId="a6">
    <w:name w:val="footer"/>
    <w:basedOn w:val="a"/>
    <w:link w:val="a7"/>
    <w:uiPriority w:val="99"/>
    <w:unhideWhenUsed/>
    <w:rsid w:val="005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1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1CF"/>
    <w:rPr>
      <w:sz w:val="24"/>
    </w:rPr>
  </w:style>
  <w:style w:type="paragraph" w:styleId="a6">
    <w:name w:val="footer"/>
    <w:basedOn w:val="a"/>
    <w:link w:val="a7"/>
    <w:uiPriority w:val="99"/>
    <w:unhideWhenUsed/>
    <w:rsid w:val="005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1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昇</dc:creator>
  <cp:lastModifiedBy>坂井 昇</cp:lastModifiedBy>
  <cp:revision>3</cp:revision>
  <dcterms:created xsi:type="dcterms:W3CDTF">2017-09-26T06:11:00Z</dcterms:created>
  <dcterms:modified xsi:type="dcterms:W3CDTF">2017-10-09T22:32:00Z</dcterms:modified>
</cp:coreProperties>
</file>